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Sexual Violence</w:t>
      </w: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Justin Williams</w:t>
      </w: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Institutional Affiliation</w:t>
      </w: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4/6/2021</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Sexual violence</w:t>
      </w:r>
    </w:p>
    <w:p>
      <w:pPr>
        <w:spacing w:before="0" w:after="2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Research Topic: Sexual Violence</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Sexual violence encompasses crimes like sexual assault, rape and child sexual abuse </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Objective: To study factors that contribute to sexual violence, its impact and measures put in place to mitigate the crime and help victims of sexual violence.</w:t>
      </w:r>
    </w:p>
    <w:p>
      <w:pPr>
        <w:numPr>
          <w:ilvl w:val="0"/>
          <w:numId w:val="5"/>
        </w:numPr>
        <w:spacing w:before="0" w:after="16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Factors that contribute to sexual violence</w:t>
      </w:r>
    </w:p>
    <w:p>
      <w:pPr>
        <w:numPr>
          <w:ilvl w:val="0"/>
          <w:numId w:val="5"/>
        </w:numPr>
        <w:spacing w:before="0" w:after="16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sexual violence impacts on the individual victims, families, communities and countries?</w:t>
      </w:r>
    </w:p>
    <w:p>
      <w:pPr>
        <w:numPr>
          <w:ilvl w:val="0"/>
          <w:numId w:val="5"/>
        </w:numPr>
        <w:spacing w:before="0" w:after="16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programs are in place to aid victims of sexual violence?</w:t>
      </w:r>
    </w:p>
    <w:p>
      <w:pPr>
        <w:numPr>
          <w:ilvl w:val="0"/>
          <w:numId w:val="5"/>
        </w:numPr>
        <w:spacing w:before="0" w:after="160" w:line="48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measures and policies are there to help mitigate sexual violence and how effective are they?</w:t>
      </w:r>
    </w:p>
    <w:p>
      <w:pPr>
        <w:spacing w:before="0" w:after="200" w:line="48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Research question</w:t>
      </w: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are the Motivators of sexual violence and factors that contribute to sexual violence?</w:t>
      </w:r>
    </w:p>
    <w:p>
      <w:pPr>
        <w:spacing w:before="0" w:after="20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Dependent variable (</w:t>
      </w:r>
      <w:r>
        <w:rPr>
          <w:rFonts w:ascii="Times New Roman" w:hAnsi="Times New Roman" w:cs="Times New Roman" w:eastAsia="Times New Roman"/>
          <w:b/>
          <w:color w:val="auto"/>
          <w:spacing w:val="0"/>
          <w:position w:val="0"/>
          <w:sz w:val="24"/>
          <w:shd w:fill="auto" w:val="clear"/>
        </w:rPr>
        <w:t xml:space="preserve">effect)</w:t>
      </w:r>
      <w:r>
        <w:rPr>
          <w:rFonts w:ascii="Times New Roman" w:hAnsi="Times New Roman" w:cs="Times New Roman" w:eastAsia="Times New Roman"/>
          <w:color w:val="auto"/>
          <w:spacing w:val="0"/>
          <w:position w:val="0"/>
          <w:sz w:val="24"/>
          <w:shd w:fill="auto" w:val="clear"/>
        </w:rPr>
        <w:t xml:space="preserve">: Sexual violence</w:t>
      </w:r>
    </w:p>
    <w:p>
      <w:pPr>
        <w:spacing w:before="0" w:after="20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Independent variable (</w:t>
      </w:r>
      <w:r>
        <w:rPr>
          <w:rFonts w:ascii="Times New Roman" w:hAnsi="Times New Roman" w:cs="Times New Roman" w:eastAsia="Times New Roman"/>
          <w:b/>
          <w:color w:val="auto"/>
          <w:spacing w:val="0"/>
          <w:position w:val="0"/>
          <w:sz w:val="24"/>
          <w:shd w:fill="auto" w:val="clear"/>
        </w:rPr>
        <w:t xml:space="preserve">cause):</w:t>
      </w:r>
      <w:r>
        <w:rPr>
          <w:rFonts w:ascii="Times New Roman" w:hAnsi="Times New Roman" w:cs="Times New Roman" w:eastAsia="Times New Roman"/>
          <w:color w:val="auto"/>
          <w:spacing w:val="0"/>
          <w:position w:val="0"/>
          <w:sz w:val="24"/>
          <w:shd w:fill="auto" w:val="clear"/>
        </w:rPr>
        <w:t xml:space="preserve"> Motivators of sexual violence (reasons behind the actions of sexual violence perpetrators, what drives them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Armstrong, E. A., Gleckman-Krut, M., &amp; Johnson, L. (2018). Silence, power, and inequality: An intersectional approach to sexual violence. </w:t>
      </w:r>
      <w:r>
        <w:rPr>
          <w:rFonts w:ascii="Times New Roman" w:hAnsi="Times New Roman" w:cs="Times New Roman" w:eastAsia="Times New Roman"/>
          <w:i/>
          <w:color w:val="222222"/>
          <w:spacing w:val="0"/>
          <w:position w:val="0"/>
          <w:sz w:val="24"/>
          <w:shd w:fill="FFFFFF" w:val="clear"/>
        </w:rPr>
        <w:t xml:space="preserve">Annual Review of Sociology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44</w:t>
      </w:r>
      <w:r>
        <w:rPr>
          <w:rFonts w:ascii="Times New Roman" w:hAnsi="Times New Roman" w:cs="Times New Roman" w:eastAsia="Times New Roman"/>
          <w:color w:val="222222"/>
          <w:spacing w:val="0"/>
          <w:position w:val="0"/>
          <w:sz w:val="24"/>
          <w:shd w:fill="FFFFFF" w:val="clear"/>
        </w:rPr>
        <w:t xml:space="preserve">, 99-122.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This article addresses the issue of sexual violence among women. The article focuses on gender inequality as one of the factors that contribute to sexual violence among women. According to the authors, most sexual violence cases go unreported due to the silencing power by the male gender. The article recommends on the need for women to come out and address the issue of sexual violence by reporting any of such cases to the relevant authority.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Bows, H. (2018). Sexual violence against older people: A review of the empirical literature. </w:t>
      </w:r>
      <w:r>
        <w:rPr>
          <w:rFonts w:ascii="Times New Roman" w:hAnsi="Times New Roman" w:cs="Times New Roman" w:eastAsia="Times New Roman"/>
          <w:i/>
          <w:color w:val="222222"/>
          <w:spacing w:val="0"/>
          <w:position w:val="0"/>
          <w:sz w:val="24"/>
          <w:shd w:fill="FFFFFF" w:val="clear"/>
        </w:rPr>
        <w:t xml:space="preserve">Trauma, Violence, &amp; Abuse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19</w:t>
      </w:r>
      <w:r>
        <w:rPr>
          <w:rFonts w:ascii="Times New Roman" w:hAnsi="Times New Roman" w:cs="Times New Roman" w:eastAsia="Times New Roman"/>
          <w:color w:val="222222"/>
          <w:spacing w:val="0"/>
          <w:position w:val="0"/>
          <w:sz w:val="24"/>
          <w:shd w:fill="FFFFFF" w:val="clear"/>
        </w:rPr>
        <w:t xml:space="preserve">(5), 567-583.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This article focuses on sexual violence among the elderly. By reviewing the existing literature, the article asserts that many of the sexual violence cases among the elderly are never reported. Given that the elderly are vulnerable population and in most times spent time alone, most sexual violence cases are silenced.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Gunnarsson, L. (2018). “Excuse me, but are you raping me now?” Discourse and experience in (the grey areas of) sexual violence. </w:t>
      </w:r>
      <w:r>
        <w:rPr>
          <w:rFonts w:ascii="Times New Roman" w:hAnsi="Times New Roman" w:cs="Times New Roman" w:eastAsia="Times New Roman"/>
          <w:i/>
          <w:color w:val="222222"/>
          <w:spacing w:val="0"/>
          <w:position w:val="0"/>
          <w:sz w:val="24"/>
          <w:shd w:fill="FFFFFF" w:val="clear"/>
        </w:rPr>
        <w:t xml:space="preserve">NORA-Nordic Journal of Feminist and Gender Research</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26</w:t>
      </w:r>
      <w:r>
        <w:rPr>
          <w:rFonts w:ascii="Times New Roman" w:hAnsi="Times New Roman" w:cs="Times New Roman" w:eastAsia="Times New Roman"/>
          <w:color w:val="222222"/>
          <w:spacing w:val="0"/>
          <w:position w:val="0"/>
          <w:sz w:val="24"/>
          <w:shd w:fill="FFFFFF" w:val="clear"/>
        </w:rPr>
        <w:t xml:space="preserve">(1), 4-18.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This article focuses on the sexual violence cases and area on sexual violence that are rarely discussed. The article discusses on discourse and experience and their relation to cases of sexual violence. The article notes that the existing structures on discourse and experience have frozen women into powerless positions of being raped. By analyzing autobiographical stories from different campaigns, the article sets out the difference between sex and violence.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Krahé, B. (2018). Violence against women. </w:t>
      </w:r>
      <w:r>
        <w:rPr>
          <w:rFonts w:ascii="Times New Roman" w:hAnsi="Times New Roman" w:cs="Times New Roman" w:eastAsia="Times New Roman"/>
          <w:i/>
          <w:color w:val="222222"/>
          <w:spacing w:val="0"/>
          <w:position w:val="0"/>
          <w:sz w:val="24"/>
          <w:shd w:fill="FFFFFF" w:val="clear"/>
        </w:rPr>
        <w:t xml:space="preserve">Current opinion in psychology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19</w:t>
      </w:r>
      <w:r>
        <w:rPr>
          <w:rFonts w:ascii="Times New Roman" w:hAnsi="Times New Roman" w:cs="Times New Roman" w:eastAsia="Times New Roman"/>
          <w:color w:val="222222"/>
          <w:spacing w:val="0"/>
          <w:position w:val="0"/>
          <w:sz w:val="24"/>
          <w:shd w:fill="FFFFFF" w:val="clear"/>
        </w:rPr>
        <w:t xml:space="preserve">, 6-10.</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This article provides a clear definition of sexual violence within the society. According to the article, a study by WHO found that 30% of women experienced sexual violence from their intimate partners. Out of these cases, there were a considerable percentage of cases that were not reported. The article discusses the negative impact of sexual violence on the mental and physical health of the affected.  The article further provides the intervention strategies that are needed in reducing the cases of sexual violence within  the society.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Awasthi, B. (2017). From Attire to Assault: Clothing, Objectification, and De-humanization</w:t>
      </w:r>
      <w:r>
        <w:rPr>
          <w:rFonts w:ascii="Times New Roman" w:hAnsi="Times New Roman" w:cs="Times New Roman" w:eastAsia="Times New Roman"/>
          <w:color w:val="222222"/>
          <w:spacing w:val="0"/>
          <w:position w:val="0"/>
          <w:sz w:val="24"/>
          <w:shd w:fill="FFFFFF" w:val="clear"/>
        </w:rPr>
        <w:t xml:space="preserve">–</w:t>
      </w:r>
      <w:r>
        <w:rPr>
          <w:rFonts w:ascii="Times New Roman" w:hAnsi="Times New Roman" w:cs="Times New Roman" w:eastAsia="Times New Roman"/>
          <w:color w:val="222222"/>
          <w:spacing w:val="0"/>
          <w:position w:val="0"/>
          <w:sz w:val="24"/>
          <w:shd w:fill="FFFFFF" w:val="clear"/>
        </w:rPr>
        <w:t xml:space="preserve">A Possible Prelude to Sexual Violence?. </w:t>
      </w:r>
      <w:r>
        <w:rPr>
          <w:rFonts w:ascii="Times New Roman" w:hAnsi="Times New Roman" w:cs="Times New Roman" w:eastAsia="Times New Roman"/>
          <w:i/>
          <w:color w:val="222222"/>
          <w:spacing w:val="0"/>
          <w:position w:val="0"/>
          <w:sz w:val="24"/>
          <w:shd w:fill="FFFFFF" w:val="clear"/>
        </w:rPr>
        <w:t xml:space="preserve">Frontiers in psychology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8</w:t>
      </w:r>
      <w:r>
        <w:rPr>
          <w:rFonts w:ascii="Times New Roman" w:hAnsi="Times New Roman" w:cs="Times New Roman" w:eastAsia="Times New Roman"/>
          <w:color w:val="222222"/>
          <w:spacing w:val="0"/>
          <w:position w:val="0"/>
          <w:sz w:val="24"/>
          <w:shd w:fill="FFFFFF" w:val="clear"/>
        </w:rPr>
        <w:t xml:space="preserve">, 338.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This article addresses one of the most controversial topics on sexual violence: attire. The article addresses the misconception that attire by women leads to sexual violence. The article describes how the society justifies sexual violence through objectification and de-humanization based on clothing by women. The article recommends on the need for intervention strategies that include public education on sexual violence. </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Carline, A., Gunby, C., &amp; Taylor, S. (2018). Too drunk to consent? Exploring the contestations and disruptions in male-focused sexual violence prevention interventions. </w:t>
      </w:r>
      <w:r>
        <w:rPr>
          <w:rFonts w:ascii="Times New Roman" w:hAnsi="Times New Roman" w:cs="Times New Roman" w:eastAsia="Times New Roman"/>
          <w:i/>
          <w:color w:val="222222"/>
          <w:spacing w:val="0"/>
          <w:position w:val="0"/>
          <w:sz w:val="24"/>
          <w:shd w:fill="FFFFFF" w:val="clear"/>
        </w:rPr>
        <w:t xml:space="preserve">Social &amp; Legal Studies</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27</w:t>
      </w:r>
      <w:r>
        <w:rPr>
          <w:rFonts w:ascii="Times New Roman" w:hAnsi="Times New Roman" w:cs="Times New Roman" w:eastAsia="Times New Roman"/>
          <w:color w:val="222222"/>
          <w:spacing w:val="0"/>
          <w:position w:val="0"/>
          <w:sz w:val="24"/>
          <w:shd w:fill="FFFFFF" w:val="clear"/>
        </w:rPr>
        <w:t xml:space="preserve">(3), 299-322.</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The article addresses alcohol use and its relation to sexual violence. According to the article, a considerable percentage of sexual violence cases are related to alcohol consumption. The article then discusses the failure by some of the intervention strategies to address the issue of alcohol, consent, and sexual violence among women. The article has been effective in providing clear cut definitions on sexual violence and how to understand consent as a strategy in reducing cases on sexual violence. </w:t>
      </w:r>
    </w:p>
    <w:p>
      <w:pPr>
        <w:spacing w:before="0" w:after="200" w:line="480"/>
        <w:ind w:right="0" w:left="0" w:firstLine="0"/>
        <w:jc w:val="center"/>
        <w:rPr>
          <w:rFonts w:ascii="Times New Roman" w:hAnsi="Times New Roman" w:cs="Times New Roman" w:eastAsia="Times New Roman"/>
          <w:color w:val="222222"/>
          <w:spacing w:val="0"/>
          <w:position w:val="0"/>
          <w:sz w:val="24"/>
          <w:shd w:fill="FFFFFF" w:val="clear"/>
        </w:rPr>
      </w:pPr>
    </w:p>
    <w:p>
      <w:pPr>
        <w:spacing w:before="0" w:after="200" w:line="480"/>
        <w:ind w:right="0" w:left="0" w:firstLine="0"/>
        <w:jc w:val="center"/>
        <w:rPr>
          <w:rFonts w:ascii="Times New Roman" w:hAnsi="Times New Roman" w:cs="Times New Roman" w:eastAsia="Times New Roman"/>
          <w:color w:val="222222"/>
          <w:spacing w:val="0"/>
          <w:position w:val="0"/>
          <w:sz w:val="24"/>
          <w:shd w:fill="FFFFFF" w:val="clear"/>
        </w:rPr>
      </w:pPr>
    </w:p>
    <w:p>
      <w:pPr>
        <w:spacing w:before="0" w:after="200" w:line="480"/>
        <w:ind w:right="0" w:left="0" w:firstLine="0"/>
        <w:jc w:val="center"/>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References</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Armstrong, E. A., Gleckman-Krut, M., &amp; Johnson, L. (2018). Silence, power, and inequality: An intersectional approach to sexual violence. </w:t>
      </w:r>
      <w:r>
        <w:rPr>
          <w:rFonts w:ascii="Times New Roman" w:hAnsi="Times New Roman" w:cs="Times New Roman" w:eastAsia="Times New Roman"/>
          <w:i/>
          <w:color w:val="222222"/>
          <w:spacing w:val="0"/>
          <w:position w:val="0"/>
          <w:sz w:val="24"/>
          <w:shd w:fill="FFFFFF" w:val="clear"/>
        </w:rPr>
        <w:t xml:space="preserve">Annual Review of Sociology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44</w:t>
      </w:r>
      <w:r>
        <w:rPr>
          <w:rFonts w:ascii="Times New Roman" w:hAnsi="Times New Roman" w:cs="Times New Roman" w:eastAsia="Times New Roman"/>
          <w:color w:val="222222"/>
          <w:spacing w:val="0"/>
          <w:position w:val="0"/>
          <w:sz w:val="24"/>
          <w:shd w:fill="FFFFFF" w:val="clear"/>
        </w:rPr>
        <w:t xml:space="preserve">, 99-122. </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Awasthi, B. (2017). From Attire to Assault: Clothing, Objectification, and De-humanization</w:t>
      </w:r>
      <w:r>
        <w:rPr>
          <w:rFonts w:ascii="Times New Roman" w:hAnsi="Times New Roman" w:cs="Times New Roman" w:eastAsia="Times New Roman"/>
          <w:color w:val="222222"/>
          <w:spacing w:val="0"/>
          <w:position w:val="0"/>
          <w:sz w:val="24"/>
          <w:shd w:fill="FFFFFF" w:val="clear"/>
        </w:rPr>
        <w:t xml:space="preserve">–</w:t>
      </w:r>
      <w:r>
        <w:rPr>
          <w:rFonts w:ascii="Times New Roman" w:hAnsi="Times New Roman" w:cs="Times New Roman" w:eastAsia="Times New Roman"/>
          <w:color w:val="222222"/>
          <w:spacing w:val="0"/>
          <w:position w:val="0"/>
          <w:sz w:val="24"/>
          <w:shd w:fill="FFFFFF" w:val="clear"/>
        </w:rPr>
        <w:t xml:space="preserve">A Possible Prelude to Sexual Violence?. </w:t>
      </w:r>
      <w:r>
        <w:rPr>
          <w:rFonts w:ascii="Times New Roman" w:hAnsi="Times New Roman" w:cs="Times New Roman" w:eastAsia="Times New Roman"/>
          <w:i/>
          <w:color w:val="222222"/>
          <w:spacing w:val="0"/>
          <w:position w:val="0"/>
          <w:sz w:val="24"/>
          <w:shd w:fill="FFFFFF" w:val="clear"/>
        </w:rPr>
        <w:t xml:space="preserve">Frontiers in psychology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8</w:t>
      </w:r>
      <w:r>
        <w:rPr>
          <w:rFonts w:ascii="Times New Roman" w:hAnsi="Times New Roman" w:cs="Times New Roman" w:eastAsia="Times New Roman"/>
          <w:color w:val="222222"/>
          <w:spacing w:val="0"/>
          <w:position w:val="0"/>
          <w:sz w:val="24"/>
          <w:shd w:fill="FFFFFF" w:val="clear"/>
        </w:rPr>
        <w:t xml:space="preserve">, 338. </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Bows, H. (2018). Sexual violence against older people: A review of the empirical literature. </w:t>
      </w:r>
      <w:r>
        <w:rPr>
          <w:rFonts w:ascii="Times New Roman" w:hAnsi="Times New Roman" w:cs="Times New Roman" w:eastAsia="Times New Roman"/>
          <w:i/>
          <w:color w:val="222222"/>
          <w:spacing w:val="0"/>
          <w:position w:val="0"/>
          <w:sz w:val="24"/>
          <w:shd w:fill="FFFFFF" w:val="clear"/>
        </w:rPr>
        <w:t xml:space="preserve">Trauma, Violence, &amp; Abuse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19</w:t>
      </w:r>
      <w:r>
        <w:rPr>
          <w:rFonts w:ascii="Times New Roman" w:hAnsi="Times New Roman" w:cs="Times New Roman" w:eastAsia="Times New Roman"/>
          <w:color w:val="222222"/>
          <w:spacing w:val="0"/>
          <w:position w:val="0"/>
          <w:sz w:val="24"/>
          <w:shd w:fill="FFFFFF" w:val="clear"/>
        </w:rPr>
        <w:t xml:space="preserve">(5), 567-583. </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Carline, A., Gunby, C., &amp; Taylor, S. (2018). Too drunk to consent? Exploring the contestations and disruptions in male-focused sexual violence prevention interventions. </w:t>
      </w:r>
      <w:r>
        <w:rPr>
          <w:rFonts w:ascii="Times New Roman" w:hAnsi="Times New Roman" w:cs="Times New Roman" w:eastAsia="Times New Roman"/>
          <w:i/>
          <w:color w:val="222222"/>
          <w:spacing w:val="0"/>
          <w:position w:val="0"/>
          <w:sz w:val="24"/>
          <w:shd w:fill="FFFFFF" w:val="clear"/>
        </w:rPr>
        <w:t xml:space="preserve">Social &amp; Legal Studies</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27</w:t>
      </w:r>
      <w:r>
        <w:rPr>
          <w:rFonts w:ascii="Times New Roman" w:hAnsi="Times New Roman" w:cs="Times New Roman" w:eastAsia="Times New Roman"/>
          <w:color w:val="222222"/>
          <w:spacing w:val="0"/>
          <w:position w:val="0"/>
          <w:sz w:val="24"/>
          <w:shd w:fill="FFFFFF" w:val="clear"/>
        </w:rPr>
        <w:t xml:space="preserve">(3), 299-322.</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Gunnarsson, L. (2018). “Excuse me, but are you raping me now?” Discourse and experience in (the grey areas of) sexual violence. </w:t>
      </w:r>
      <w:r>
        <w:rPr>
          <w:rFonts w:ascii="Times New Roman" w:hAnsi="Times New Roman" w:cs="Times New Roman" w:eastAsia="Times New Roman"/>
          <w:i/>
          <w:color w:val="222222"/>
          <w:spacing w:val="0"/>
          <w:position w:val="0"/>
          <w:sz w:val="24"/>
          <w:shd w:fill="FFFFFF" w:val="clear"/>
        </w:rPr>
        <w:t xml:space="preserve">NORA-Nordic Journal of Feminist and Gender Research</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26</w:t>
      </w:r>
      <w:r>
        <w:rPr>
          <w:rFonts w:ascii="Times New Roman" w:hAnsi="Times New Roman" w:cs="Times New Roman" w:eastAsia="Times New Roman"/>
          <w:color w:val="222222"/>
          <w:spacing w:val="0"/>
          <w:position w:val="0"/>
          <w:sz w:val="24"/>
          <w:shd w:fill="FFFFFF" w:val="clear"/>
        </w:rPr>
        <w:t xml:space="preserve">(1), 4-18. </w:t>
      </w:r>
    </w:p>
    <w:p>
      <w:pPr>
        <w:spacing w:before="0" w:after="200" w:line="480"/>
        <w:ind w:right="0" w:left="720" w:hanging="72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Krahé, B. (2018). Violence against women. </w:t>
      </w:r>
      <w:r>
        <w:rPr>
          <w:rFonts w:ascii="Times New Roman" w:hAnsi="Times New Roman" w:cs="Times New Roman" w:eastAsia="Times New Roman"/>
          <w:i/>
          <w:color w:val="222222"/>
          <w:spacing w:val="0"/>
          <w:position w:val="0"/>
          <w:sz w:val="24"/>
          <w:shd w:fill="FFFFFF" w:val="clear"/>
        </w:rPr>
        <w:t xml:space="preserve">Current opinion in psychology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19</w:t>
      </w:r>
      <w:r>
        <w:rPr>
          <w:rFonts w:ascii="Times New Roman" w:hAnsi="Times New Roman" w:cs="Times New Roman" w:eastAsia="Times New Roman"/>
          <w:color w:val="222222"/>
          <w:spacing w:val="0"/>
          <w:position w:val="0"/>
          <w:sz w:val="24"/>
          <w:shd w:fill="FFFFFF" w:val="clear"/>
        </w:rPr>
        <w:t xml:space="preserve">, 6-10.</w:t>
      </w: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p>
    <w:p>
      <w:pPr>
        <w:spacing w:before="0" w:after="200" w:line="480"/>
        <w:ind w:right="0" w:left="0" w:firstLine="0"/>
        <w:jc w:val="left"/>
        <w:rPr>
          <w:rFonts w:ascii="Times New Roman" w:hAnsi="Times New Roman" w:cs="Times New Roman" w:eastAsia="Times New Roman"/>
          <w:color w:val="222222"/>
          <w:spacing w:val="0"/>
          <w:position w:val="0"/>
          <w:sz w:val="24"/>
          <w:shd w:fill="FFFFFF"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48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